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 kommunfullmäktige</w:t>
      </w:r>
    </w:p>
    <w:p>
      <w:pPr>
        <w:pStyle w:val="Heading1"/>
      </w:pPr>
      <w:r>
        <w:t xml:space="preserve">Bättre ordning och kunskaper i Marks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Mark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Marks meritvärde ligger på 215 poäng (Kolada 2024), under rikssnitt. Brist på ordning och tidiga insatser påverkar elevernas resultat negativt enligt Skolverkets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Mark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ordningsregler med konsekvent uppföljning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antalet speciallärare med fokus på tidig läsinlärning i årskurs 1-3.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obligatoriska kunskapstester i svenska och matematik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 miljoner kronor årligen för kompetensutveckling av lärare i Mark.</w:t>
      </w:r>
    </w:p>
    <w:p>
      <w:pPr>
        <w:spacing w:before="360"/>
      </w:pPr>
    </w:p>
    <w:p>
      <w:r>
        <w:t xml:space="preserve">Mark,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Mark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2026-07-14T04:30:20.850Z</dcterms:created>
  <dcterms:modified xsi:type="dcterms:W3CDTF">2026-07-14T04:30:20.850Z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